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Shetland Islands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Shetland Islands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Shetland Islands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Shetland Islands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Shetland Islands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Shetland Islands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33.3% </w:t>
      </w:r>
      <w:r w:rsidRPr="004747BF">
        <w:rPr>
          <w:rFonts w:ascii="Libre Franklin Light" w:eastAsia="Times New Roman" w:hAnsi="Libre Franklin Light" w:cs="Calibri Light"/>
        </w:rPr>
        <w:t xml:space="preserve">of those respondents classified as PGSI 8+ in Shetland Islands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Shetland Islands is estimated to be </w:t>
      </w:r>
      <w:r w:rsidRPr="00773DF7">
        <w:rPr>
          <w:rFonts w:ascii="Libre Franklin Light" w:eastAsia="Times New Roman" w:hAnsi="Libre Franklin Light" w:cs="Calibri Light"/>
          <w:b/>
          <w:bCs/>
          <w:color w:val="C45911" w:themeColor="accent2" w:themeShade="BF"/>
        </w:rPr>
        <w:t xml:space="preserve">£417,910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Shetland Islands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Shetland Islands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Shetland Islands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Shetland Islands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hetland Island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Shetland Islands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hetland Island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Shetland Islands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70.6%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Shetland Islands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hetland Island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Shetland Islands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51.9%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Shetland Islands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Shetland Islands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Shetland Islands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Shetland Islands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Shetland Islands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£417,910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Shetland Islands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£6,807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£140,774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£10,085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£2,836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£5,200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£252,208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£417,910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Shetland Islands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Shetland Islands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Shetland Islands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Shetland Islands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Shetland Islands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Shetland Islands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Shetland Islands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Shetland Islands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10.3%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Shetland Islands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Shetland Islands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Shetland Islands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Shetland Islands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935E3E7-7317-4F07-8AD0-738E27CFA06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